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Savannah Damongo MRO Centre</w:t>
      </w:r>
    </w:p>
    <w:p>
      <w:pPr>
        <w:pStyle w:val="Subtitle"/>
      </w:pPr>
      <w:r>
        <w:t>Phase 2 Development Proposal and Preliminary Cost Plan</w:t>
      </w:r>
    </w:p>
    <w:p>
      <w:r>
        <w:t>Prepared for Paul Augustus Hay and prospective financing and technical partners</w:t>
        <w:br/>
        <w:t>Global Exchange R&amp;E Corporation and African Airways ACE Ghana Aviation</w:t>
        <w:br/>
        <w:t>23 October 2026  |  Revision 1</w:t>
      </w:r>
    </w:p>
    <w:p>
      <w:pPr>
        <w:pStyle w:val="Heading1"/>
      </w:pPr>
      <w:r>
        <w:t>Executive proposal</w:t>
      </w:r>
    </w:p>
    <w:p>
      <w:r>
        <w:t>We propose a maintenance, repair and overhaul centre and aviation skills campus at the planned Savannah Damongo aviation development in Ghana. The centre would support the African Airways and Air Charter Express operating network and, subject to approval and contracted demand, serve third party regional and international operators.</w:t>
      </w:r>
    </w:p>
    <w:p>
      <w:r>
        <w:t>This proposal is the Phase 2 MRO and training annex. It adapts the supplied Rwanda based MRO concept to a proposed Ghana greenfield location. It does not assume that an operational airport, existing hangars, land title, technical partner commitments or maintenance approvals are already available at Damongo.</w:t>
      </w:r>
    </w:p>
    <w:tbl>
      <w:tblPr>
        <w:tblW w:type="auto" w:w="0"/>
        <w:tblLayout w:type="fixed"/>
        <w:tblLook w:firstColumn="1" w:firstRow="1" w:lastColumn="0" w:lastRow="0" w:noHBand="0" w:noVBand="1" w:val="04A0"/>
      </w:tblPr>
      <w:tblGrid>
        <w:gridCol w:w="3096"/>
        <w:gridCol w:w="6984"/>
      </w:tblGrid>
      <w:tr>
        <w:trPr>
          <w:cantSplit/>
          <w:tblHeader/>
        </w:trPr>
        <w:tc>
          <w:tcPr>
            <w:tcW w:type="dxa" w:w="3096"/>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Decision item</w:t>
            </w:r>
          </w:p>
        </w:tc>
        <w:tc>
          <w:tcPr>
            <w:tcW w:type="dxa" w:w="698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Proposal basis</w:t>
            </w:r>
          </w:p>
        </w:tc>
      </w:tr>
      <w:tr>
        <w:trPr>
          <w:cantSplit/>
        </w:trPr>
        <w:tc>
          <w:tcPr>
            <w:tcW w:type="dxa" w:w="309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Initial development work</w:t>
            </w:r>
          </w:p>
        </w:tc>
        <w:tc>
          <w:tcPr>
            <w:tcW w:type="dxa" w:w="698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US$1.50 million for feasibility, design, approvals planning and commercial validation</w:t>
            </w:r>
          </w:p>
        </w:tc>
      </w:tr>
      <w:tr>
        <w:trPr>
          <w:cantSplit/>
        </w:trPr>
        <w:tc>
          <w:tcPr>
            <w:tcW w:type="dxa" w:w="309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Core MRO and training capital</w:t>
            </w:r>
          </w:p>
        </w:tc>
        <w:tc>
          <w:tcPr>
            <w:tcW w:type="dxa" w:w="698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US$31.02 million including 20% contingency on US$25.85 million direct cost</w:t>
            </w:r>
          </w:p>
        </w:tc>
      </w:tr>
      <w:tr>
        <w:trPr>
          <w:cantSplit/>
        </w:trPr>
        <w:tc>
          <w:tcPr>
            <w:tcW w:type="dxa" w:w="309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Opening liquidity reserve</w:t>
            </w:r>
          </w:p>
        </w:tc>
        <w:tc>
          <w:tcPr>
            <w:tcW w:type="dxa" w:w="698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US$3.60 million equal to six months of modelled fixed operating cost</w:t>
            </w:r>
          </w:p>
        </w:tc>
      </w:tr>
      <w:tr>
        <w:trPr>
          <w:cantSplit/>
        </w:trPr>
        <w:tc>
          <w:tcPr>
            <w:tcW w:type="dxa" w:w="309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MRO development envelope</w:t>
            </w:r>
          </w:p>
        </w:tc>
        <w:tc>
          <w:tcPr>
            <w:tcW w:type="dxa" w:w="698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US$36.12 million base case including the development work above</w:t>
            </w:r>
          </w:p>
        </w:tc>
      </w:tr>
      <w:tr>
        <w:trPr>
          <w:cantSplit/>
        </w:trPr>
        <w:tc>
          <w:tcPr>
            <w:tcW w:type="dxa" w:w="309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Preliminary sensitivity range</w:t>
            </w:r>
          </w:p>
        </w:tc>
        <w:tc>
          <w:tcPr>
            <w:tcW w:type="dxa" w:w="698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US$28.37 million to US$48.53 million for the same defined MRO scope</w:t>
            </w:r>
          </w:p>
        </w:tc>
      </w:tr>
    </w:tbl>
    <w:p>
      <w:pPr>
        <w:spacing w:after="40" w:before="0" w:line="20" w:lineRule="exact"/>
      </w:pPr>
      <w:r>
        <w:rPr>
          <w:sz w:val="2"/>
        </w:rPr>
      </w:r>
    </w:p>
    <w:p>
      <w:r>
        <w:t>All project prices in this annex are new, unquoted planning assumptions in US dollars. The uploaded source contains market size figures but no project capital or operating budget. The range is a sensitivity test, not an independently estimated confidence interval. Airport infrastructure, land, taxes and other exclusions remain additional.</w:t>
      </w:r>
    </w:p>
    <w:p>
      <w:r>
        <w:t>The added minimum infrastructure option is US$103.56 million for an indicative 3,200 metre runway package and one basic wide body servicing hangar, before opening working capital and the stated exclusions. The more developed airport plus core MRO scenario is US$124.27 million including the core MRO reserve and removing the duplicated MRO apron allowance. Detailed schedules follow in the airport addendum.</w:t>
      </w:r>
    </w:p>
    <w:p>
      <w:pPr>
        <w:pStyle w:val="Heading2"/>
      </w:pPr>
      <w:r>
        <w:t>Immediate request</w:t>
      </w:r>
    </w:p>
    <w:p>
      <w:r>
        <w:t>Authorize a separately controlled US$1.50 million development workstream for consideration, with release in agreed milestones. Construction funding would be considered only after site access, the airport interface, engineering quantities, supplier quotations, the approval pathway and credible customer demand are validated. No financing commitment is represented by this proposal.</w:t>
      </w:r>
    </w:p>
    <w:p>
      <w:pPr>
        <w:pStyle w:val="Heading1"/>
        <w:pageBreakBefore/>
      </w:pPr>
      <w:r>
        <w:t>Phase 2 scope and Ghana operating model</w:t>
      </w:r>
    </w:p>
    <w:p>
      <w:r>
        <w:t>Damongo would be the proposed principal development site for this workstream. Accra would remain the operational and commercial interface with the existing Ghana aviation network. Any interim maintenance work at another airport must be performed by an appropriately approved organisation under a separate agreement.</w:t>
      </w:r>
    </w:p>
    <w:tbl>
      <w:tblPr>
        <w:tblW w:type="auto" w:w="0"/>
        <w:tblLayout w:type="fixed"/>
        <w:tblLook w:firstColumn="1" w:firstRow="1" w:lastColumn="0" w:lastRow="0" w:noHBand="0" w:noVBand="1" w:val="04A0"/>
      </w:tblPr>
      <w:tblGrid>
        <w:gridCol w:w="1584"/>
        <w:gridCol w:w="5472"/>
        <w:gridCol w:w="3024"/>
      </w:tblGrid>
      <w:tr>
        <w:trPr>
          <w:cantSplit/>
          <w:tblHeader/>
        </w:trPr>
        <w:tc>
          <w:tcPr>
            <w:tcW w:type="dxa" w:w="158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Stage</w:t>
            </w:r>
          </w:p>
        </w:tc>
        <w:tc>
          <w:tcPr>
            <w:tcW w:type="dxa" w:w="547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Defined scope</w:t>
            </w:r>
          </w:p>
        </w:tc>
        <w:tc>
          <w:tcPr>
            <w:tcW w:type="dxa" w:w="302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Release condition</w:t>
            </w:r>
          </w:p>
        </w:tc>
      </w:tr>
      <w:tr>
        <w:trPr>
          <w:cantSplit/>
        </w:trPr>
        <w:tc>
          <w:tcPr>
            <w:tcW w:type="dxa" w:w="158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2A Development</w:t>
            </w:r>
          </w:p>
        </w:tc>
        <w:tc>
          <w:tcPr>
            <w:tcW w:type="dxa" w:w="547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Site and airfield interface studies, concept design, environmental screening, AMO certification plan and customer validation</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Documented site access and approved development budget</w:t>
            </w:r>
          </w:p>
        </w:tc>
      </w:tr>
      <w:tr>
        <w:trPr>
          <w:cantSplit/>
        </w:trPr>
        <w:tc>
          <w:tcPr>
            <w:tcW w:type="dxa" w:w="158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2B Core centre</w:t>
            </w:r>
          </w:p>
        </w:tc>
        <w:tc>
          <w:tcPr>
            <w:tcW w:type="dxa" w:w="547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Hangar, selected workshops, stores, training rooms, equipment, limited initial aircraft ratings and opening liquidity</w:t>
            </w:r>
          </w:p>
        </w:tc>
        <w:tc>
          <w:tcPr>
            <w:tcW w:type="dxa" w:w="302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Buildable airport connection, approved design, funding and credible contracted demand</w:t>
            </w:r>
          </w:p>
        </w:tc>
      </w:tr>
      <w:tr>
        <w:trPr>
          <w:cantSplit/>
        </w:trPr>
        <w:tc>
          <w:tcPr>
            <w:tcW w:type="dxa" w:w="158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2C Later expansion</w:t>
            </w:r>
          </w:p>
        </w:tc>
        <w:tc>
          <w:tcPr>
            <w:tcW w:type="dxa" w:w="547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Wide body base maintenance, engine overhaul and test cell, major modifications and passenger to freighter conversion</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Separate engineering, OEM or design approval rights, business case, capital budget and approvals</w:t>
            </w:r>
          </w:p>
        </w:tc>
      </w:tr>
    </w:tbl>
    <w:p>
      <w:pPr>
        <w:spacing w:after="40" w:before="0" w:line="20" w:lineRule="exact"/>
      </w:pPr>
      <w:r>
        <w:rPr>
          <w:sz w:val="2"/>
        </w:rPr>
      </w:r>
    </w:p>
    <w:p>
      <w:pPr>
        <w:pStyle w:val="Heading2"/>
      </w:pPr>
      <w:r>
        <w:t>Initial service priorities</w:t>
      </w:r>
    </w:p>
    <w:p>
      <w:r>
        <w:t>Start with a deliberately limited set of aircraft and engine types selected from actual fleet and customer contracts. The proposed first capability includes approved line maintenance, scheduled airframe work within the granted ratings, inspection, cabin rectification, selected component support and engine removal or installation. Engine overhaul, engine test cells and freighter conversions are excluded from the initial operating promise and budget.</w:t>
      </w:r>
    </w:p>
    <w:p>
      <w:r>
        <w:t>The six aircraft airline concept alone does not establish sufficient third party work for the centre. Conduct a bottom up demand study covering aircraft types, maintenance events, billable hours, customer ferry costs and competing approved facilities. Internal maintenance reduces airline costs but is not additional consolidated group revenue; intercompany income and expense must be eliminated.</w:t>
      </w:r>
    </w:p>
    <w:p>
      <w:pPr>
        <w:pStyle w:val="Heading2"/>
      </w:pPr>
      <w:r>
        <w:t>Governance and delivery roles</w:t>
      </w:r>
    </w:p>
    <w:p>
      <w:r>
        <w:t>Global Exchange would coordinate project sponsorship, financing and commercial development. African Airways would develop international customer relationships and equipment coordination. Air Charter Express would provide Ghana operating input, subject to a documented scope and its permissions. A qualified MRO technical operator would be competitively selected; none is represented as appointed.</w:t>
      </w:r>
    </w:p>
    <w:p>
      <w:r>
        <w:t>Paul Augustus Hay would sponsor the program and Christopher Anderson would coordinate Ghana operational input under agreed mandates. The Royal Savannah Trust would coordinate land and local project interfaces. A project company, land lease, technical management agreement, reporting controls and reserved decisions must be documented before commitments. Equity percentages are to be negotiated, not treated as executed terms.</w:t>
      </w:r>
    </w:p>
    <w:p>
      <w:pPr>
        <w:pStyle w:val="Heading1"/>
        <w:pageBreakBefore/>
      </w:pPr>
      <w:r>
        <w:t>Site engineering and regulatory requirements</w:t>
      </w:r>
    </w:p>
    <w:p>
      <w:r>
        <w:t>The land reference for the wider Savannah project and the proposed 1,000 acre airport and tank farm reserve are management planning context, not proof of a legally allocated MRO parcel. Survey and demarcate the parcel, confirm authority to grant the lease, verify title and community rights, and complete independent legal and technical due diligence.</w:t>
      </w:r>
    </w:p>
    <w:tbl>
      <w:tblPr>
        <w:tblW w:type="auto" w:w="0"/>
        <w:tblLayout w:type="fixed"/>
        <w:tblLook w:firstColumn="1" w:firstRow="1" w:lastColumn="0" w:lastRow="0" w:noHBand="0" w:noVBand="1" w:val="04A0"/>
      </w:tblPr>
      <w:tblGrid>
        <w:gridCol w:w="2304"/>
        <w:gridCol w:w="7776"/>
      </w:tblGrid>
      <w:tr>
        <w:trPr>
          <w:cantSplit/>
          <w:tblHeader/>
        </w:trPr>
        <w:tc>
          <w:tcPr>
            <w:tcW w:type="dxa" w:w="230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Engineering interface</w:t>
            </w:r>
          </w:p>
        </w:tc>
        <w:tc>
          <w:tcPr>
            <w:tcW w:type="dxa" w:w="7776"/>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Required evidence before final investment decision</w:t>
            </w:r>
          </w:p>
        </w:tc>
      </w:tr>
      <w:tr>
        <w:trPr>
          <w:cantSplit/>
        </w:trPr>
        <w:tc>
          <w:tcPr>
            <w:tcW w:type="dxa" w:w="230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Aircraft access</w:t>
            </w:r>
          </w:p>
        </w:tc>
        <w:tc>
          <w:tcPr>
            <w:tcW w:type="dxa" w:w="777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Approved airport masterplan and a funded, deliverable runway and taxiway connection; pavement, geometry and operational suitability for the selected aircraft</w:t>
            </w:r>
          </w:p>
        </w:tc>
      </w:tr>
      <w:tr>
        <w:trPr>
          <w:cantSplit/>
        </w:trPr>
        <w:tc>
          <w:tcPr>
            <w:tcW w:type="dxa" w:w="230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Hangar and apron</w:t>
            </w:r>
          </w:p>
        </w:tc>
        <w:tc>
          <w:tcPr>
            <w:tcW w:type="dxa" w:w="777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Aircraft specific clearances, door height, floor loading, jacking loads, fire strategy, docking system and pavement design</w:t>
            </w:r>
          </w:p>
        </w:tc>
      </w:tr>
      <w:tr>
        <w:trPr>
          <w:cantSplit/>
        </w:trPr>
        <w:tc>
          <w:tcPr>
            <w:tcW w:type="dxa" w:w="230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Ground conditions</w:t>
            </w:r>
          </w:p>
        </w:tc>
        <w:tc>
          <w:tcPr>
            <w:tcW w:type="dxa" w:w="777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Topography, geotechnical study, flooding and drainage assessment, access roads and utility capacity</w:t>
            </w:r>
          </w:p>
        </w:tc>
      </w:tr>
      <w:tr>
        <w:trPr>
          <w:cantSplit/>
        </w:trPr>
        <w:tc>
          <w:tcPr>
            <w:tcW w:type="dxa" w:w="230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Environment and community</w:t>
            </w:r>
          </w:p>
        </w:tc>
        <w:tc>
          <w:tcPr>
            <w:tcW w:type="dxa" w:w="777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Applicable environmental approvals and consultation; fuel, oil, solvent and hazardous waste handling; water, emissions and noise controls</w:t>
            </w:r>
          </w:p>
        </w:tc>
      </w:tr>
      <w:tr>
        <w:trPr>
          <w:cantSplit/>
        </w:trPr>
        <w:tc>
          <w:tcPr>
            <w:tcW w:type="dxa" w:w="230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Reliable operations</w:t>
            </w:r>
          </w:p>
        </w:tc>
        <w:tc>
          <w:tcPr>
            <w:tcW w:type="dxa" w:w="777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Power with backup, water, data connectivity, physical security, rescue and fire interfaces, spares import and transport arrangements</w:t>
            </w:r>
          </w:p>
        </w:tc>
      </w:tr>
    </w:tbl>
    <w:p>
      <w:pPr>
        <w:spacing w:after="40" w:before="0" w:line="20" w:lineRule="exact"/>
      </w:pPr>
      <w:r>
        <w:rPr>
          <w:sz w:val="2"/>
        </w:rPr>
      </w:r>
    </w:p>
    <w:p>
      <w:pPr>
        <w:pStyle w:val="Heading2"/>
      </w:pPr>
      <w:r>
        <w:t>Separate approval tracks</w:t>
      </w:r>
    </w:p>
    <w:p>
      <w:r>
        <w:t>Ghana Civil Aviation Authority guidance requires a maintenance organisation certification process. An airline AOC does not by itself grant approval to operate a new MRO facility. The centre requires an appropriately scoped AMO approval, suitable accountable and nominated personnel, maintenance procedures, tooling and calibration, approved maintenance data, training, quality and safety controls, and release to service authorisations.</w:t>
      </w:r>
    </w:p>
    <w:p>
      <w:r>
        <w:t>The airport and any approved training organisation follow their own applicable approval tracks. Agree current requirements and charges directly with GCAA before finalising the budget. No EASA, FAA or foreign customer recognition is assumed; pursue additional approvals only where justified by customer demand and resources.</w:t>
      </w:r>
    </w:p>
    <w:p>
      <w:pPr>
        <w:pStyle w:val="Heading2"/>
      </w:pPr>
      <w:r>
        <w:t>Facility planning allowances</w:t>
      </w:r>
    </w:p>
    <w:p>
      <w:r>
        <w:t>The preliminary model tests an 8,000 square metre hangar, 3,000 square metres of workshops and stores, 1,500 square metres of training and administration, and an 18,000 square metre MRO apron. These are quantity allowances, not a final layout, guaranteed aircraft fit or an approved aerodrome design. Hangar configuration must be engineered before aircraft capacity is advertised.</w:t>
      </w:r>
    </w:p>
    <w:p>
      <w:r>
        <w:t>GCAA references checked 23 October 2026: Maintenance Organisations Cert and Aerodrome Certification. Full source URLs appear in the source register at the end of this annex.</w:t>
      </w:r>
    </w:p>
    <w:p>
      <w:pPr>
        <w:pStyle w:val="Heading1"/>
        <w:pageBreakBefore/>
      </w:pPr>
      <w:r>
        <w:t>Capital cost and funding scope</w:t>
      </w:r>
    </w:p>
    <w:p>
      <w:r>
        <w:t>Each amount below is an editable management planning allowance created for this adaptation. No rate is a supplier quotation or a recovered cost from the Rwanda proposal. The specialised aviation structures are not priced using the residential construction benchmark used elsewhere in the Savannah project.</w:t>
      </w:r>
    </w:p>
    <w:tbl>
      <w:tblPr>
        <w:tblW w:type="auto" w:w="0"/>
        <w:tblLayout w:type="fixed"/>
        <w:tblLook w:firstColumn="1" w:firstRow="1" w:lastColumn="0" w:lastRow="0" w:noHBand="0" w:noVBand="1" w:val="04A0"/>
      </w:tblPr>
      <w:tblGrid>
        <w:gridCol w:w="4392"/>
        <w:gridCol w:w="1512"/>
        <w:gridCol w:w="1656"/>
        <w:gridCol w:w="2520"/>
      </w:tblGrid>
      <w:tr>
        <w:trPr>
          <w:cantSplit/>
          <w:tblHeader/>
        </w:trPr>
        <w:tc>
          <w:tcPr>
            <w:tcW w:type="dxa" w:w="439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Direct cost item</w:t>
            </w:r>
          </w:p>
        </w:tc>
        <w:tc>
          <w:tcPr>
            <w:tcW w:type="dxa" w:w="151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Quantity</w:t>
            </w:r>
          </w:p>
        </w:tc>
        <w:tc>
          <w:tcPr>
            <w:tcW w:type="dxa" w:w="1656"/>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rate</w:t>
            </w:r>
          </w:p>
        </w:tc>
        <w:tc>
          <w:tcPr>
            <w:tcW w:type="dxa" w:w="2520"/>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million</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Hangar structure and services</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8,000 m²</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1,200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9.60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Workshops and stores</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3,000 m²</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900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2.70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Training and administration</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1,500 m²</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900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1.35</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MRO apron pavement</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18,000 m²</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1.80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Internal utilities and site works</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2,000,000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Aircraft tooling and docking</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3,000,000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3.00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Ground support equipment</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1,500,000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1.50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Maintenance IT and initial data setup</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600,000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0.60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Initial training and commissioning</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800,000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0.80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Opening spares and consumable stock</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2,500,000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2.50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Direct cost subtotal</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25.85</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Contingency at 20% of direct cost</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5.17</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Core capital including contingency</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31.02</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Stage 2A development work</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1.50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Six month fixed cost reserve</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3.60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MRO envelope including opening liquidity</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36.12</w:t>
            </w:r>
          </w:p>
        </w:tc>
      </w:tr>
    </w:tbl>
    <w:p>
      <w:pPr>
        <w:spacing w:after="40" w:before="0" w:line="20" w:lineRule="exact"/>
      </w:pPr>
      <w:r>
        <w:rPr>
          <w:sz w:val="2"/>
        </w:rPr>
      </w:r>
    </w:p>
    <w:p>
      <w:r>
        <w:t>Development work allowance of US$1.50 million comprises site and survey work US$0.25 million; design and engineering US$0.35 million; environmental and social studies US$0.15 million; certification planning US$0.25 million; customer and technical diligence US$0.20 million; and project, legal and commercial setup US$0.30 million. This includes no separately verified statutory fee.</w:t>
      </w:r>
    </w:p>
    <w:p>
      <w:pPr>
        <w:pStyle w:val="Heading2"/>
      </w:pPr>
      <w:r>
        <w:t>Additional costs excluded from this envelope</w:t>
      </w:r>
    </w:p>
    <w:p>
      <w:r>
        <w:t>Land acquisition or lease premium and compensation; airport runway, shared taxiways, terminal, navigation aids and airport fire services; external access and trunk utilities; tank farm; hotel and city development; import duties, VAT and other taxes; financing fees and interest during construction; cost escalation after the pricing date; engine overhaul and test cell; freighter conversion tooling and licences; aircraft acquisition. These are unpriced additional workstreams, not zero cost items.</w:t>
      </w:r>
    </w:p>
    <w:p>
      <w:pPr>
        <w:pStyle w:val="Heading1"/>
        <w:pageBreakBefore/>
      </w:pPr>
      <w:r>
        <w:t>Operating economics and utilisation test</w:t>
      </w:r>
    </w:p>
    <w:p>
      <w:r>
        <w:t>The steady state test below is a feasibility screen, not a validated earnings forecast. It assumes 150 total staff, including 90 productive maintenance staff. The source proposal’s approximately 1,300 jobs is not adopted as a Damongo launch staffing commitment.</w:t>
      </w:r>
    </w:p>
    <w:tbl>
      <w:tblPr>
        <w:tblW w:type="auto" w:w="0"/>
        <w:tblLayout w:type="fixed"/>
        <w:tblLook w:firstColumn="1" w:firstRow="1" w:lastColumn="0" w:lastRow="0" w:noHBand="0" w:noVBand="1" w:val="04A0"/>
      </w:tblPr>
      <w:tblGrid>
        <w:gridCol w:w="7920"/>
        <w:gridCol w:w="2160"/>
      </w:tblGrid>
      <w:tr>
        <w:trPr>
          <w:cantSplit/>
          <w:tblHeader/>
        </w:trPr>
        <w:tc>
          <w:tcPr>
            <w:tcW w:type="dxa" w:w="7920"/>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Annual fixed operating cost assumption</w:t>
            </w:r>
          </w:p>
        </w:tc>
        <w:tc>
          <w:tcPr>
            <w:tcW w:type="dxa" w:w="2160"/>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million</w:t>
            </w:r>
          </w:p>
        </w:tc>
      </w:tr>
      <w:tr>
        <w:trPr>
          <w:cantSplit/>
        </w:trPr>
        <w:tc>
          <w:tcPr>
            <w:tcW w:type="dxa" w:w="79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150 staff at average US$36,000 fully loaded cost</w:t>
            </w:r>
          </w:p>
        </w:tc>
        <w:tc>
          <w:tcPr>
            <w:tcW w:type="dxa" w:w="216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5.40</w:t>
            </w:r>
          </w:p>
        </w:tc>
      </w:tr>
      <w:tr>
        <w:trPr>
          <w:cantSplit/>
        </w:trPr>
        <w:tc>
          <w:tcPr>
            <w:tcW w:type="dxa" w:w="79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Utilities and facility maintenance</w:t>
            </w:r>
          </w:p>
        </w:tc>
        <w:tc>
          <w:tcPr>
            <w:tcW w:type="dxa" w:w="216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0.65</w:t>
            </w:r>
          </w:p>
        </w:tc>
      </w:tr>
      <w:tr>
        <w:trPr>
          <w:cantSplit/>
        </w:trPr>
        <w:tc>
          <w:tcPr>
            <w:tcW w:type="dxa" w:w="79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IT subscriptions and insurance</w:t>
            </w:r>
          </w:p>
        </w:tc>
        <w:tc>
          <w:tcPr>
            <w:tcW w:type="dxa" w:w="216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0.60</w:t>
            </w:r>
          </w:p>
        </w:tc>
      </w:tr>
      <w:tr>
        <w:trPr>
          <w:cantSplit/>
        </w:trPr>
        <w:tc>
          <w:tcPr>
            <w:tcW w:type="dxa" w:w="79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Security and administration</w:t>
            </w:r>
          </w:p>
        </w:tc>
        <w:tc>
          <w:tcPr>
            <w:tcW w:type="dxa" w:w="216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0.30</w:t>
            </w:r>
          </w:p>
        </w:tc>
      </w:tr>
      <w:tr>
        <w:trPr>
          <w:cantSplit/>
        </w:trPr>
        <w:tc>
          <w:tcPr>
            <w:tcW w:type="dxa" w:w="79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Recurring quality and staff training</w:t>
            </w:r>
          </w:p>
        </w:tc>
        <w:tc>
          <w:tcPr>
            <w:tcW w:type="dxa" w:w="216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0.25</w:t>
            </w:r>
          </w:p>
        </w:tc>
      </w:tr>
      <w:tr>
        <w:trPr>
          <w:cantSplit/>
        </w:trPr>
        <w:tc>
          <w:tcPr>
            <w:tcW w:type="dxa" w:w="79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Total annual fixed operating cost</w:t>
            </w:r>
          </w:p>
        </w:tc>
        <w:tc>
          <w:tcPr>
            <w:tcW w:type="dxa" w:w="216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7.20</w:t>
            </w:r>
          </w:p>
        </w:tc>
      </w:tr>
    </w:tbl>
    <w:p>
      <w:pPr>
        <w:spacing w:after="40" w:before="0" w:line="20" w:lineRule="exact"/>
      </w:pPr>
      <w:r>
        <w:rPr>
          <w:sz w:val="2"/>
        </w:rPr>
      </w:r>
    </w:p>
    <w:p>
      <w:r>
        <w:t>Productive capacity is 90 staff × 1,600 available billable hours per staff member per year = 144,000 hours before utilisation. The test labour charge is US$100 per billed hour. Variable cash cost is assumed at 15% of labour revenue, separate from the fixed costs above. No third party quotation, customer contract or rate validation supports these assumptions yet.</w:t>
      </w:r>
    </w:p>
    <w:tbl>
      <w:tblPr>
        <w:tblW w:type="auto" w:w="0"/>
        <w:tblLayout w:type="fixed"/>
        <w:tblLook w:firstColumn="1" w:firstRow="1" w:lastColumn="0" w:lastRow="0" w:noHBand="0" w:noVBand="1" w:val="04A0"/>
      </w:tblPr>
      <w:tblGrid>
        <w:gridCol w:w="2160"/>
        <w:gridCol w:w="1872"/>
        <w:gridCol w:w="3024"/>
        <w:gridCol w:w="3024"/>
      </w:tblGrid>
      <w:tr>
        <w:trPr>
          <w:cantSplit/>
          <w:tblHeader/>
        </w:trPr>
        <w:tc>
          <w:tcPr>
            <w:tcW w:type="dxa" w:w="2160"/>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Utilisation test</w:t>
            </w:r>
          </w:p>
        </w:tc>
        <w:tc>
          <w:tcPr>
            <w:tcW w:type="dxa" w:w="187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Billable hours</w:t>
            </w:r>
          </w:p>
        </w:tc>
        <w:tc>
          <w:tcPr>
            <w:tcW w:type="dxa" w:w="302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Labour revenue US$m</w:t>
            </w:r>
          </w:p>
        </w:tc>
        <w:tc>
          <w:tcPr>
            <w:tcW w:type="dxa" w:w="302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Operating result US$m</w:t>
            </w:r>
          </w:p>
        </w:tc>
      </w:tr>
      <w:tr>
        <w:trPr>
          <w:cantSplit/>
        </w:trPr>
        <w:tc>
          <w:tcPr>
            <w:tcW w:type="dxa" w:w="216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45 percent</w:t>
            </w:r>
          </w:p>
        </w:tc>
        <w:tc>
          <w:tcPr>
            <w:tcW w:type="dxa" w:w="187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64,800</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6.48</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(1.692)</w:t>
            </w:r>
          </w:p>
        </w:tc>
      </w:tr>
      <w:tr>
        <w:trPr>
          <w:cantSplit/>
        </w:trPr>
        <w:tc>
          <w:tcPr>
            <w:tcW w:type="dxa" w:w="216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65 percent base</w:t>
            </w:r>
          </w:p>
        </w:tc>
        <w:tc>
          <w:tcPr>
            <w:tcW w:type="dxa" w:w="187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93,600</w:t>
            </w:r>
          </w:p>
        </w:tc>
        <w:tc>
          <w:tcPr>
            <w:tcW w:type="dxa" w:w="302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9.36</w:t>
            </w:r>
          </w:p>
        </w:tc>
        <w:tc>
          <w:tcPr>
            <w:tcW w:type="dxa" w:w="302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0.756</w:t>
            </w:r>
          </w:p>
        </w:tc>
      </w:tr>
      <w:tr>
        <w:trPr>
          <w:cantSplit/>
        </w:trPr>
        <w:tc>
          <w:tcPr>
            <w:tcW w:type="dxa" w:w="216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80 percent</w:t>
            </w:r>
          </w:p>
        </w:tc>
        <w:tc>
          <w:tcPr>
            <w:tcW w:type="dxa" w:w="187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115,200</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11.52</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2.592</w:t>
            </w:r>
          </w:p>
        </w:tc>
      </w:tr>
    </w:tbl>
    <w:p>
      <w:pPr>
        <w:spacing w:after="40" w:before="0" w:line="20" w:lineRule="exact"/>
      </w:pPr>
      <w:r>
        <w:rPr>
          <w:sz w:val="2"/>
        </w:rPr>
      </w:r>
    </w:p>
    <w:p>
      <w:r>
        <w:t>Operating result is labour revenue less variable cash cost and fixed operating cost, before depreciation, financing, tax and replacement capital. Break even is approximately 84,706 billable hours, or 58.8% utilisation at these assumptions. The test excludes parts resale margin, training income, parking, overhaul income and conversion income until contracted evidence exists.</w:t>
      </w:r>
    </w:p>
    <w:p>
      <w:pPr>
        <w:pStyle w:val="Heading2"/>
      </w:pPr>
      <w:r>
        <w:t>Cash and consolidated group treatment</w:t>
      </w:r>
    </w:p>
    <w:p>
      <w:r>
        <w:t>The US$3.60 million reserve equals six months of fixed cost only. Separately size receivables, supplier deposits, spares replenishment and construction cash flows; a slow ramp or customer payment delay may require additional liquidity. Treat opening spares as stock capital and avoid charging the same stock acquisition twice in project funding and operating expenses.</w:t>
      </w:r>
    </w:p>
    <w:p>
      <w:r>
        <w:t>Internal fleet maintenance hours cannot be counted as both external MRO sales and an unadjusted airline maintenance expense in consolidated projections. Establish transfer pricing and eliminations. A debt service coverage ratio and investor return cannot be represented until financing terms, tax, depreciation, ramp timing and cash collections are modelled.</w:t>
      </w:r>
    </w:p>
    <w:p>
      <w:pPr>
        <w:pStyle w:val="Heading1"/>
        <w:pageBreakBefore/>
      </w:pPr>
      <w:r>
        <w:t>Implementation milestones and finance attachment</w:t>
      </w:r>
    </w:p>
    <w:tbl>
      <w:tblPr>
        <w:tblW w:type="auto" w:w="0"/>
        <w:tblLayout w:type="fixed"/>
        <w:tblLook w:firstColumn="1" w:firstRow="1" w:lastColumn="0" w:lastRow="0" w:noHBand="0" w:noVBand="1" w:val="04A0"/>
      </w:tblPr>
      <w:tblGrid>
        <w:gridCol w:w="2016"/>
        <w:gridCol w:w="5328"/>
        <w:gridCol w:w="2736"/>
      </w:tblGrid>
      <w:tr>
        <w:trPr>
          <w:cantSplit/>
          <w:tblHeader/>
        </w:trPr>
        <w:tc>
          <w:tcPr>
            <w:tcW w:type="dxa" w:w="2016"/>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Indicative elapsed period</w:t>
            </w:r>
          </w:p>
        </w:tc>
        <w:tc>
          <w:tcPr>
            <w:tcW w:type="dxa" w:w="5328"/>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Work package</w:t>
            </w:r>
          </w:p>
        </w:tc>
        <w:tc>
          <w:tcPr>
            <w:tcW w:type="dxa" w:w="2736"/>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Decision gate</w:t>
            </w:r>
          </w:p>
        </w:tc>
      </w:tr>
      <w:tr>
        <w:trPr>
          <w:cantSplit/>
        </w:trPr>
        <w:tc>
          <w:tcPr>
            <w:tcW w:type="dxa" w:w="201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Months 0 to 3</w:t>
            </w:r>
          </w:p>
        </w:tc>
        <w:tc>
          <w:tcPr>
            <w:tcW w:type="dxa" w:w="532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Land and airport interface diligence, initial GCAA engagement, customer demand study and technical partner process</w:t>
            </w:r>
          </w:p>
        </w:tc>
        <w:tc>
          <w:tcPr>
            <w:tcW w:type="dxa" w:w="273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Proceed only if site and airport delivery are credible</w:t>
            </w:r>
          </w:p>
        </w:tc>
      </w:tr>
      <w:tr>
        <w:trPr>
          <w:cantSplit/>
        </w:trPr>
        <w:tc>
          <w:tcPr>
            <w:tcW w:type="dxa" w:w="201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Months 3 to 6</w:t>
            </w:r>
          </w:p>
        </w:tc>
        <w:tc>
          <w:tcPr>
            <w:tcW w:type="dxa" w:w="5328"/>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Concept design, environmental pathway, aircraft ratings strategy, budget validation and initial customer commitments</w:t>
            </w:r>
          </w:p>
        </w:tc>
        <w:tc>
          <w:tcPr>
            <w:tcW w:type="dxa" w:w="273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Agree engineered scope and procurement package</w:t>
            </w:r>
          </w:p>
        </w:tc>
      </w:tr>
      <w:tr>
        <w:trPr>
          <w:cantSplit/>
        </w:trPr>
        <w:tc>
          <w:tcPr>
            <w:tcW w:type="dxa" w:w="201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Months 6 to 12</w:t>
            </w:r>
          </w:p>
        </w:tc>
        <w:tc>
          <w:tcPr>
            <w:tcW w:type="dxa" w:w="532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Detailed design, approvals, bankable quotations and financing documentation</w:t>
            </w:r>
          </w:p>
        </w:tc>
        <w:tc>
          <w:tcPr>
            <w:tcW w:type="dxa" w:w="273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Final investment decision and staged funding</w:t>
            </w:r>
          </w:p>
        </w:tc>
      </w:tr>
      <w:tr>
        <w:trPr>
          <w:cantSplit/>
        </w:trPr>
        <w:tc>
          <w:tcPr>
            <w:tcW w:type="dxa" w:w="201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Months 12 to 24 or later</w:t>
            </w:r>
          </w:p>
        </w:tc>
        <w:tc>
          <w:tcPr>
            <w:tcW w:type="dxa" w:w="5328"/>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Construction, systems installation, recruitment, training and certification preparation</w:t>
            </w:r>
          </w:p>
        </w:tc>
        <w:tc>
          <w:tcPr>
            <w:tcW w:type="dxa" w:w="273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Facility readiness and compliance demonstrations</w:t>
            </w:r>
          </w:p>
        </w:tc>
      </w:tr>
      <w:tr>
        <w:trPr>
          <w:cantSplit/>
        </w:trPr>
        <w:tc>
          <w:tcPr>
            <w:tcW w:type="dxa" w:w="201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Months 24 to 30 or later</w:t>
            </w:r>
          </w:p>
        </w:tc>
        <w:tc>
          <w:tcPr>
            <w:tcW w:type="dxa" w:w="532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Authority inspections, limited capability launch and customer ramp</w:t>
            </w:r>
          </w:p>
        </w:tc>
        <w:tc>
          <w:tcPr>
            <w:tcW w:type="dxa" w:w="273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Launch only within approvals actually granted</w:t>
            </w:r>
          </w:p>
        </w:tc>
      </w:tr>
    </w:tbl>
    <w:p>
      <w:pPr>
        <w:spacing w:after="40" w:before="0" w:line="20" w:lineRule="exact"/>
      </w:pPr>
      <w:r>
        <w:rPr>
          <w:sz w:val="2"/>
        </w:rPr>
      </w:r>
    </w:p>
    <w:p>
      <w:r>
        <w:t>These are planning windows from an authorised project start, not calendar commitments. Airport construction, land access, approvals, supply lead times and financing may extend the schedule. No maintenance launch is assumed before aircraft access and required facility approvals are available.</w:t>
      </w:r>
    </w:p>
    <w:p>
      <w:pPr>
        <w:pStyle w:val="Heading2"/>
      </w:pPr>
      <w:r>
        <w:t>Phase 2 attachment instruction</w:t>
      </w:r>
    </w:p>
    <w:p>
      <w:r>
        <w:t>Attach this annex as P2 MRO 01 to the African Airways ACE Ghana Aviation development proposal. Record US$36.12 million as an indicative MRO and training allowance inclusive of US$1.50 million development work and US$3.60 million opening liquidity. The development allowance is part of the envelope, not an amount added a second time.</w:t>
      </w:r>
    </w:p>
    <w:p>
      <w:r>
        <w:t>Keep the airport and runway, hotel, training approval extensions, city infrastructure, fuel infrastructure and later heavy overhaul work in separate cost centres. The airport addendum provides a preliminary runway and minimum hangar option; the complete Phase 2 request remains undetermined because other workstreams and exclusions remain unpriced. Do not add this annex to the initial fleet loan request without a separately reconciled funding decision.</w:t>
      </w:r>
    </w:p>
    <w:p>
      <w:pPr>
        <w:pStyle w:val="Heading2"/>
      </w:pPr>
      <w:r>
        <w:t>Funding approach for negotiation</w:t>
      </w:r>
    </w:p>
    <w:p>
      <w:r>
        <w:t>Seek a blend of sponsor development capital, technical partner participation, equipment finance and infrastructure funding suited to the project risks. Existing aircraft financing requests do not establish MRO loan terms. Any proposed sponsor and partner allocation, moratorium, interest rate, security package or guarantee must be negotiated and approved in its own documents.</w:t>
      </w:r>
    </w:p>
    <w:p>
      <w:r>
        <w:t>Release funds against independently verified milestones, with procurement controls, cost reporting, change approval and a lender monitored draw process. Secure a completion and interface plan covering the airport and MRO so that a completed hangar is not left without operational aircraft access.</w:t>
      </w:r>
    </w:p>
    <w:p>
      <w:pPr>
        <w:pStyle w:val="Heading1"/>
        <w:pageBreakBefore/>
      </w:pPr>
      <w:r>
        <w:t>Source adaptation and estimate register</w:t>
      </w:r>
    </w:p>
    <w:tbl>
      <w:tblPr>
        <w:tblW w:type="auto" w:w="0"/>
        <w:tblLayout w:type="fixed"/>
        <w:tblLook w:firstColumn="1" w:firstRow="1" w:lastColumn="0" w:lastRow="0" w:noHBand="0" w:noVBand="1" w:val="04A0"/>
      </w:tblPr>
      <w:tblGrid>
        <w:gridCol w:w="4032"/>
        <w:gridCol w:w="6048"/>
      </w:tblGrid>
      <w:tr>
        <w:trPr>
          <w:cantSplit/>
          <w:tblHeader/>
        </w:trPr>
        <w:tc>
          <w:tcPr>
            <w:tcW w:type="dxa" w:w="403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Uploaded source element</w:t>
            </w:r>
          </w:p>
        </w:tc>
        <w:tc>
          <w:tcPr>
            <w:tcW w:type="dxa" w:w="6048"/>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Damongo adaptation</w:t>
            </w:r>
          </w:p>
        </w:tc>
      </w:tr>
      <w:tr>
        <w:trPr>
          <w:cantSplit/>
        </w:trPr>
        <w:tc>
          <w:tcPr>
            <w:tcW w:type="dxa" w:w="403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Rwanda title and Kigali hub with conflicting Harare reference</w:t>
            </w:r>
          </w:p>
        </w:tc>
        <w:tc>
          <w:tcPr>
            <w:tcW w:type="dxa" w:w="604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Single proposed location in Savannah Damongo Ghana; no existing airport facility assumed</w:t>
            </w:r>
          </w:p>
        </w:tc>
      </w:tr>
      <w:tr>
        <w:trPr>
          <w:cantSplit/>
        </w:trPr>
        <w:tc>
          <w:tcPr>
            <w:tcW w:type="dxa" w:w="403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Three site pan African network</w:t>
            </w:r>
          </w:p>
        </w:tc>
        <w:tc>
          <w:tcPr>
            <w:tcW w:type="dxa" w:w="6048"/>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Damongo core site with an Accra interface; additional international satellites deferred</w:t>
            </w:r>
          </w:p>
        </w:tc>
      </w:tr>
      <w:tr>
        <w:trPr>
          <w:cantSplit/>
        </w:trPr>
        <w:tc>
          <w:tcPr>
            <w:tcW w:type="dxa" w:w="403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Broad aircraft and engine overhaul service list</w:t>
            </w:r>
          </w:p>
        </w:tc>
        <w:tc>
          <w:tcPr>
            <w:tcW w:type="dxa" w:w="604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Start with limited approved ratings; heavy overhaul and conversion deferred</w:t>
            </w:r>
          </w:p>
        </w:tc>
      </w:tr>
      <w:tr>
        <w:trPr>
          <w:cantSplit/>
        </w:trPr>
        <w:tc>
          <w:tcPr>
            <w:tcW w:type="dxa" w:w="403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US technical support and named historical team</w:t>
            </w:r>
          </w:p>
        </w:tc>
        <w:tc>
          <w:tcPr>
            <w:tcW w:type="dxa" w:w="6048"/>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Technical partner procurement and fresh written mandates required; no historic party is shown as committed</w:t>
            </w:r>
          </w:p>
        </w:tc>
      </w:tr>
      <w:tr>
        <w:trPr>
          <w:cantSplit/>
        </w:trPr>
        <w:tc>
          <w:tcPr>
            <w:tcW w:type="dxa" w:w="403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COVID grounding and 2019 to 2029 market projections</w:t>
            </w:r>
          </w:p>
        </w:tc>
        <w:tc>
          <w:tcPr>
            <w:tcW w:type="dxa" w:w="604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Historical context removed from current demand claims; customer work orders must support the case</w:t>
            </w:r>
          </w:p>
        </w:tc>
      </w:tr>
      <w:tr>
        <w:trPr>
          <w:cantSplit/>
        </w:trPr>
        <w:tc>
          <w:tcPr>
            <w:tcW w:type="dxa" w:w="403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Approximately 1,300 jobs and September or October 2020 visits</w:t>
            </w:r>
          </w:p>
        </w:tc>
        <w:tc>
          <w:tcPr>
            <w:tcW w:type="dxa" w:w="6048"/>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150 staff test assumption at steady state; new gated implementation timetable</w:t>
            </w:r>
          </w:p>
        </w:tc>
      </w:tr>
      <w:tr>
        <w:trPr>
          <w:cantSplit/>
        </w:trPr>
        <w:tc>
          <w:tcPr>
            <w:tcW w:type="dxa" w:w="403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Dollar figures in market charts</w:t>
            </w:r>
          </w:p>
        </w:tc>
        <w:tc>
          <w:tcPr>
            <w:tcW w:type="dxa" w:w="604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Retained only as historical market information; none treated as Damongo project costs</w:t>
            </w:r>
          </w:p>
        </w:tc>
      </w:tr>
    </w:tbl>
    <w:p>
      <w:pPr>
        <w:spacing w:after="40" w:before="0" w:line="20" w:lineRule="exact"/>
      </w:pPr>
      <w:r>
        <w:rPr>
          <w:sz w:val="2"/>
        </w:rPr>
      </w:r>
    </w:p>
    <w:p>
      <w:pPr>
        <w:pStyle w:val="Heading2"/>
      </w:pPr>
      <w:r>
        <w:t>Review of source costing</w:t>
      </w:r>
    </w:p>
    <w:p>
      <w:r>
        <w:t>The supplied DOCX contains text boxes, charts, photographs and narrative. Review included its main text, embedded text box content and rendered pages. No project capital schedule, unit cost estimate, operating budget, funding amount or priced equipment list was identified. The billion dollar figures refer to market size or forecast spending. The source’s visible 2020 planning references make it unsuitable as a current cost quotation.</w:t>
      </w:r>
    </w:p>
    <w:p>
      <w:pPr>
        <w:pStyle w:val="Heading2"/>
      </w:pPr>
      <w:r>
        <w:t>Estimate basis and uncertainty</w:t>
      </w:r>
    </w:p>
    <w:p>
      <w:r>
        <w:t>The capital sensitivity range applies a 25% reduction or 40% increase to the US$25.85 million direct cost, then applies the same 20% contingency and adds US$1.50 million development and US$3.60 million reserve. Low US$28.365 million; base US$36.120 million; high US$48.528 million. It does not cover excluded airport works, taxes, finance or future escalation.</w:t>
      </w:r>
    </w:p>
    <w:p>
      <w:r>
        <w:t>All quantities, unit rates, staffing, labour charge and utilisation assumptions are proposal preparer assumptions dated 23 October 2026. They require replacement by a Ghana quantity surveyor’s estimate, engineering design, equipment supplier quotations, certified technical operator plan and customer supported volume case. They are not vendor quotations, approved budgets or guaranteed costs.</w:t>
      </w:r>
    </w:p>
    <w:p>
      <w:pPr>
        <w:pStyle w:val="Heading1"/>
        <w:pageBreakBefore/>
      </w:pPr>
      <w:r>
        <w:t>Procurement and approval handoff</w:t>
      </w:r>
    </w:p>
    <w:p>
      <w:r>
        <w:t>The next work package converts this review ready proposal into an investment decision package. Assign an owner and evidence reference to each item before final funding approval.</w:t>
      </w:r>
    </w:p>
    <w:tbl>
      <w:tblPr>
        <w:tblW w:type="auto" w:w="0"/>
        <w:tblLayout w:type="fixed"/>
        <w:tblLook w:firstColumn="1" w:firstRow="1" w:lastColumn="0" w:lastRow="0" w:noHBand="0" w:noVBand="1" w:val="04A0"/>
      </w:tblPr>
      <w:tblGrid>
        <w:gridCol w:w="1944"/>
        <w:gridCol w:w="5112"/>
        <w:gridCol w:w="3024"/>
      </w:tblGrid>
      <w:tr>
        <w:trPr>
          <w:cantSplit/>
          <w:tblHeader/>
        </w:trPr>
        <w:tc>
          <w:tcPr>
            <w:tcW w:type="dxa" w:w="194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Required package</w:t>
            </w:r>
          </w:p>
        </w:tc>
        <w:tc>
          <w:tcPr>
            <w:tcW w:type="dxa" w:w="511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Deliverable</w:t>
            </w:r>
          </w:p>
        </w:tc>
        <w:tc>
          <w:tcPr>
            <w:tcW w:type="dxa" w:w="3024"/>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Proposed lead</w:t>
            </w:r>
          </w:p>
        </w:tc>
      </w:tr>
      <w:tr>
        <w:trPr>
          <w:cantSplit/>
        </w:trPr>
        <w:tc>
          <w:tcPr>
            <w:tcW w:type="dxa" w:w="194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Land and airport interface</w:t>
            </w:r>
          </w:p>
        </w:tc>
        <w:tc>
          <w:tcPr>
            <w:tcW w:type="dxa" w:w="51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Verified lease and survey, airport masterplan interface, funded runway and taxiway programme</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Trust and independent land counsel with aerodrome engineer</w:t>
            </w:r>
          </w:p>
        </w:tc>
      </w:tr>
      <w:tr>
        <w:trPr>
          <w:cantSplit/>
        </w:trPr>
        <w:tc>
          <w:tcPr>
            <w:tcW w:type="dxa" w:w="194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Civil and building works</w:t>
            </w:r>
          </w:p>
        </w:tc>
        <w:tc>
          <w:tcPr>
            <w:tcW w:type="dxa" w:w="51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Quantity survey, aircraft specific hangar design, pavement and utilities estimates, competing contractor bids</w:t>
            </w:r>
          </w:p>
        </w:tc>
        <w:tc>
          <w:tcPr>
            <w:tcW w:type="dxa" w:w="302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Aviation design and quantity surveying team</w:t>
            </w:r>
          </w:p>
        </w:tc>
      </w:tr>
      <w:tr>
        <w:trPr>
          <w:cantSplit/>
        </w:trPr>
        <w:tc>
          <w:tcPr>
            <w:tcW w:type="dxa" w:w="194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Technical capability</w:t>
            </w:r>
          </w:p>
        </w:tc>
        <w:tc>
          <w:tcPr>
            <w:tcW w:type="dxa" w:w="51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Initial aircraft ratings, maintenance data rights, tools and calibration list, approvals plan and staffing</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Selected qualified MRO technical operator</w:t>
            </w:r>
          </w:p>
        </w:tc>
      </w:tr>
      <w:tr>
        <w:trPr>
          <w:cantSplit/>
        </w:trPr>
        <w:tc>
          <w:tcPr>
            <w:tcW w:type="dxa" w:w="194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Commercial demand</w:t>
            </w:r>
          </w:p>
        </w:tc>
        <w:tc>
          <w:tcPr>
            <w:tcW w:type="dxa" w:w="51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Customer letters or contracts, work packages, labour hours, rates, ferry costs and credit terms</w:t>
            </w:r>
          </w:p>
        </w:tc>
        <w:tc>
          <w:tcPr>
            <w:tcW w:type="dxa" w:w="302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African Airways and ACE commercial team</w:t>
            </w:r>
          </w:p>
        </w:tc>
      </w:tr>
      <w:tr>
        <w:trPr>
          <w:cantSplit/>
        </w:trPr>
        <w:tc>
          <w:tcPr>
            <w:tcW w:type="dxa" w:w="194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Environmental and social</w:t>
            </w:r>
          </w:p>
        </w:tc>
        <w:tc>
          <w:tcPr>
            <w:tcW w:type="dxa" w:w="51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Applicable approvals, consultation, waste and safety management plans</w:t>
            </w:r>
          </w:p>
        </w:tc>
        <w:tc>
          <w:tcPr>
            <w:tcW w:type="dxa" w:w="3024"/>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Environmental adviser and Ghana authorities</w:t>
            </w:r>
          </w:p>
        </w:tc>
      </w:tr>
      <w:tr>
        <w:trPr>
          <w:cantSplit/>
        </w:trPr>
        <w:tc>
          <w:tcPr>
            <w:tcW w:type="dxa" w:w="194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Finance and cash flow</w:t>
            </w:r>
          </w:p>
        </w:tc>
        <w:tc>
          <w:tcPr>
            <w:tcW w:type="dxa" w:w="51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Tax and duty review, ramp model, cash reserve test, financing terms and consolidation eliminations</w:t>
            </w:r>
          </w:p>
        </w:tc>
        <w:tc>
          <w:tcPr>
            <w:tcW w:type="dxa" w:w="3024"/>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Project finance and accounting advisers</w:t>
            </w:r>
          </w:p>
        </w:tc>
      </w:tr>
    </w:tbl>
    <w:p>
      <w:pPr>
        <w:spacing w:after="40" w:before="0" w:line="20" w:lineRule="exact"/>
      </w:pPr>
      <w:r>
        <w:rPr>
          <w:sz w:val="2"/>
        </w:rPr>
      </w:r>
    </w:p>
    <w:p>
      <w:pPr>
        <w:pStyle w:val="Heading2"/>
      </w:pPr>
      <w:r>
        <w:t>Source register</w:t>
      </w:r>
    </w:p>
    <w:p>
      <w:r>
        <w:t>1  User supplied AA Domongo MRO 0200804 Proposition for Rwanda Based MRO DOCX. Original concept retained as source material; project costing absent. Original Rwanda and Kigali illustrations are not represented as Damongo site photographs.</w:t>
      </w:r>
    </w:p>
    <w:p>
      <w:r>
        <w:t>2  Ghana Civil Aviation Authority Maintenance Organisations Cert. Current web guidance checked 23 October 2026. https://www.gcaa.com.gh/web/licensing-certification/maintenance-organisations-cert/</w:t>
      </w:r>
    </w:p>
    <w:p>
      <w:r>
        <w:t>3  Ghana Civil Aviation Authority Aerodrome Certification. Current web reference checked 23 October 2026. https://www.gcaa.com.gh/web/licensing-certification/aerodrome-certification/</w:t>
      </w:r>
    </w:p>
    <w:p>
      <w:r>
        <w:t>4  Management instructions in this project: Phase 2 Damongo airport, MRO and training campus; Ghana operating collaboration with ACE; wider Savannah development context. No land conveyance, authority approval or technical operator agreement was supplied for this review.</w:t>
      </w:r>
    </w:p>
    <w:p>
      <w:r>
        <w:t>5  Airbus Aircraft Characteristics Airport and Maintenance Planning portal. Checked 23 October 2026. https://www.aircraft.airbus.com/en/customer-care/fleet-wide-care/airport-operations-and-aircraft-characteristics/aircraft-characteristics</w:t>
      </w:r>
    </w:p>
    <w:p>
      <w:pPr>
        <w:pStyle w:val="Heading2"/>
      </w:pPr>
      <w:r>
        <w:t>Proposal contact</w:t>
      </w:r>
    </w:p>
    <w:p>
      <w:r>
        <w:t>Paul Augustus Hay</w:t>
        <w:br/>
        <w:t>Chairman and CEO  Global Exchange R&amp;E Corporation</w:t>
        <w:br/>
        <w:t>African Airways Travel &amp; Tours</w:t>
        <w:br/>
        <w:t>africanairwaystours@gmail.com  |  globexresource@gmail.com</w:t>
        <w:br/>
        <w:t>+1 647 720 9202</w:t>
      </w:r>
    </w:p>
    <w:p>
      <w:pPr>
        <w:pStyle w:val="Heading1"/>
        <w:pageBreakBefore/>
      </w:pPr>
      <w:r>
        <w:t>Minimum runway and servicing hangar option</w:t>
      </w:r>
    </w:p>
    <w:p>
      <w:r>
        <w:t>This addendum responds to the request for a minimum cost international aircraft runway and servicing hangar. International status does not prescribe a single runway length or grant customs, immigration or airline traffic rights. This is a limited initial infrastructure concept, not a contractor tender or a guaranteed lowest achievable cost.</w:t>
      </w:r>
    </w:p>
    <w:p>
      <w:pPr>
        <w:pStyle w:val="Heading2"/>
      </w:pPr>
      <w:r>
        <w:t>Design assumptions for valuation</w:t>
      </w:r>
    </w:p>
    <w:p>
      <w:r>
        <w:t>Use 3,200 metres × 45 metres as the runway planning geometry, with 7.5 metre shoulders each side. Target a Code E aircraft envelope for initial study, with one connector taxiway rather than a full parallel taxiway and a shared 30,000 square metre apron. Aircraft performance, elevation, temperature, wind, obstacles, runway slope, declared distances, pavement strength and rescue category require specialist validation. This geometry does not guarantee unrestricted long haul operations for every A330, A350 or B777 variant or payload.</w:t>
      </w:r>
    </w:p>
    <w:tbl>
      <w:tblPr>
        <w:tblW w:type="auto" w:w="0"/>
        <w:tblLayout w:type="fixed"/>
        <w:tblLook w:firstColumn="1" w:firstRow="1" w:lastColumn="0" w:lastRow="0" w:noHBand="0" w:noVBand="1" w:val="04A0"/>
      </w:tblPr>
      <w:tblGrid>
        <w:gridCol w:w="4392"/>
        <w:gridCol w:w="1512"/>
        <w:gridCol w:w="1656"/>
        <w:gridCol w:w="2520"/>
      </w:tblGrid>
      <w:tr>
        <w:trPr>
          <w:cantSplit/>
          <w:tblHeader/>
        </w:trPr>
        <w:tc>
          <w:tcPr>
            <w:tcW w:type="dxa" w:w="439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Runway package item</w:t>
            </w:r>
          </w:p>
        </w:tc>
        <w:tc>
          <w:tcPr>
            <w:tcW w:type="dxa" w:w="151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Quantity</w:t>
            </w:r>
          </w:p>
        </w:tc>
        <w:tc>
          <w:tcPr>
            <w:tcW w:type="dxa" w:w="1656"/>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rate</w:t>
            </w:r>
          </w:p>
        </w:tc>
        <w:tc>
          <w:tcPr>
            <w:tcW w:type="dxa" w:w="2520"/>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million</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Runway pavement</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144,000 m²</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220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31.680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Runway shoulders</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48,000 m²</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70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3.360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Earthworks and formation</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8,000,000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8.000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Strip safety areas and drainage</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6,000,000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6.000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Runway end turn pads</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1,000,000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1.000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Connector taxiway</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13,800 m²</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160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2.208</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Shared apron</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30,000 m²</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150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4.500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Lighting navigation and weather allowance</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4,500,000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4.500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Rescue fire and security equipment</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3,000,000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3.000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Basic operations and control buildings</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2,000,000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2.000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Internal access and utilities</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3,000,000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3.000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Surveys design and approvals planning</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3,000,000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3.000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Direct runway package</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72.248</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Contingency at 25 percent</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18.062</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Runway enabling package</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90.310</w:t>
            </w:r>
          </w:p>
        </w:tc>
      </w:tr>
    </w:tbl>
    <w:p>
      <w:pPr>
        <w:spacing w:after="40" w:before="0" w:line="20" w:lineRule="exact"/>
      </w:pPr>
      <w:r>
        <w:rPr>
          <w:sz w:val="2"/>
        </w:rPr>
      </w:r>
    </w:p>
    <w:p>
      <w:r>
        <w:t>Runway pavement is an all in assumed pavement works rate excluding the separately shown bulk earthworks, shoulders, drainage and turning pads. The connector allowance is 600 metres × 23 metres. Lighting, navigation, weather, rescue and control budgets are provisional lump sums; the final instrument approach and operational category are not specified or approved.</w:t>
      </w:r>
    </w:p>
    <w:p>
      <w:pPr>
        <w:pStyle w:val="Heading1"/>
        <w:pageBreakBefore/>
      </w:pPr>
      <w:r>
        <w:t>Minimum hangar valuation and Phase 2 reconciliation</w:t>
      </w:r>
    </w:p>
    <w:p>
      <w:r>
        <w:t>The basic servicing building is a single bay with a nominal 90 metre × 90 metre footprint, plus 800 square metres of support rooms. Door and clear internal geometry must be engineered for the selected aircraft, including wingtip, tail and maintenance clearances. It is a sheltered servicing concept, not an engine overhaul shop or a complete heavy maintenance capability.</w:t>
      </w:r>
    </w:p>
    <w:tbl>
      <w:tblPr>
        <w:tblW w:type="auto" w:w="0"/>
        <w:tblLayout w:type="fixed"/>
        <w:tblLook w:firstColumn="1" w:firstRow="1" w:lastColumn="0" w:lastRow="0" w:noHBand="0" w:noVBand="1" w:val="04A0"/>
      </w:tblPr>
      <w:tblGrid>
        <w:gridCol w:w="4392"/>
        <w:gridCol w:w="1512"/>
        <w:gridCol w:w="1656"/>
        <w:gridCol w:w="2520"/>
      </w:tblGrid>
      <w:tr>
        <w:trPr>
          <w:cantSplit/>
          <w:tblHeader/>
        </w:trPr>
        <w:tc>
          <w:tcPr>
            <w:tcW w:type="dxa" w:w="439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Minimum hangar item</w:t>
            </w:r>
          </w:p>
        </w:tc>
        <w:tc>
          <w:tcPr>
            <w:tcW w:type="dxa" w:w="151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Quantity</w:t>
            </w:r>
          </w:p>
        </w:tc>
        <w:tc>
          <w:tcPr>
            <w:tcW w:type="dxa" w:w="1656"/>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rate</w:t>
            </w:r>
          </w:p>
        </w:tc>
        <w:tc>
          <w:tcPr>
            <w:tcW w:type="dxa" w:w="2520"/>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million</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Hangar shell</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8,100 m²</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650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5.265</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Aviation floor and slab</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8,100 m²</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180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1.458</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Aircraft hangar doors</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1,000,000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1.000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Electrical services and fire systems</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1,200,000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1.200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Support rooms</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800 m²</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650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0.520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Basic servicing tools and GSE</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1,100,000</w:t>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1.100</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Design and commissioning</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 lot</w:t>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500,000</w:t>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0.500</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Direct hangar cost</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11.043</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Contingency at 20 percent</w:t>
            </w:r>
          </w:p>
        </w:tc>
        <w:tc>
          <w:tcPr>
            <w:tcW w:type="dxa" w:w="151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2.209</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Minimum servicing hangar</w:t>
            </w:r>
          </w:p>
        </w:tc>
        <w:tc>
          <w:tcPr>
            <w:tcW w:type="dxa" w:w="151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1656"/>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r>
          </w:p>
        </w:tc>
        <w:tc>
          <w:tcPr>
            <w:tcW w:type="dxa" w:w="252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13.252</w:t>
            </w:r>
          </w:p>
        </w:tc>
      </w:tr>
    </w:tbl>
    <w:p>
      <w:pPr>
        <w:spacing w:after="40" w:before="0" w:line="20" w:lineRule="exact"/>
      </w:pPr>
      <w:r>
        <w:rPr>
          <w:sz w:val="2"/>
        </w:rPr>
      </w:r>
    </w:p>
    <w:tbl>
      <w:tblPr>
        <w:tblW w:type="auto" w:w="0"/>
        <w:tblLayout w:type="fixed"/>
        <w:tblLook w:firstColumn="1" w:firstRow="1" w:lastColumn="0" w:lastRow="0" w:noHBand="0" w:noVBand="1" w:val="04A0"/>
      </w:tblPr>
      <w:tblGrid>
        <w:gridCol w:w="4392"/>
        <w:gridCol w:w="2088"/>
        <w:gridCol w:w="3600"/>
      </w:tblGrid>
      <w:tr>
        <w:trPr>
          <w:cantSplit/>
          <w:tblHeader/>
        </w:trPr>
        <w:tc>
          <w:tcPr>
            <w:tcW w:type="dxa" w:w="4392"/>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Alternative scope</w:t>
            </w:r>
          </w:p>
        </w:tc>
        <w:tc>
          <w:tcPr>
            <w:tcW w:type="dxa" w:w="2088"/>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US$ million</w:t>
            </w:r>
          </w:p>
        </w:tc>
        <w:tc>
          <w:tcPr>
            <w:tcW w:type="dxa" w:w="3600"/>
            <w:tcBorders>
              <w:top w:val="single" w:sz="4" w:color="D9D9D9"/>
              <w:left w:val="single" w:sz="4" w:color="D9D9D9"/>
              <w:bottom w:val="single" w:sz="4" w:color="D9D9D9"/>
              <w:right w:val="single" w:sz="4" w:color="D9D9D9"/>
            </w:tcBorders>
            <w:shd w:fill="DCE6EC"/>
            <w:tcMar>
              <w:top w:w="55" w:type="dxa"/>
              <w:left w:w="55" w:type="dxa"/>
              <w:bottom w:w="55" w:type="dxa"/>
              <w:right w:w="55" w:type="dxa"/>
            </w:tcMar>
          </w:tcPr>
          <w:p>
            <w:pPr>
              <w:spacing w:after="60" w:line="247" w:lineRule="auto"/>
            </w:pPr>
            <w:r>
              <w:rPr>
                <w:b/>
                <w:sz w:val="19"/>
              </w:rPr>
              <w:t>Treatment</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Runway package plus minimum hangar</w:t>
            </w:r>
          </w:p>
        </w:tc>
        <w:tc>
          <w:tcPr>
            <w:tcW w:type="dxa" w:w="208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103.562</w:t>
            </w:r>
          </w:p>
        </w:tc>
        <w:tc>
          <w:tcPr>
            <w:tcW w:type="dxa" w:w="360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90.310 plus 13.252 before opening working capital</w:t>
            </w:r>
          </w:p>
        </w:tc>
      </w:tr>
      <w:tr>
        <w:trPr>
          <w:cantSplit/>
        </w:trPr>
        <w:tc>
          <w:tcPr>
            <w:tcW w:type="dxa" w:w="4392"/>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Same limited scope sensitivity range</w:t>
            </w:r>
          </w:p>
        </w:tc>
        <w:tc>
          <w:tcPr>
            <w:tcW w:type="dxa" w:w="2088"/>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77.671 to 144.986</w:t>
            </w:r>
          </w:p>
        </w:tc>
        <w:tc>
          <w:tcPr>
            <w:tcW w:type="dxa" w:w="3600"/>
            <w:tcBorders>
              <w:top w:val="single" w:sz="4" w:color="D9D9D9"/>
              <w:left w:val="single" w:sz="4" w:color="D9D9D9"/>
              <w:bottom w:val="single" w:sz="4" w:color="D9D9D9"/>
              <w:right w:val="single" w:sz="4" w:color="D9D9D9"/>
            </w:tcBorders>
            <w:shd w:fill="F4F7F9"/>
            <w:tcMar>
              <w:top w:w="55" w:type="dxa"/>
              <w:left w:w="55" w:type="dxa"/>
              <w:bottom w:w="55" w:type="dxa"/>
              <w:right w:w="55" w:type="dxa"/>
            </w:tcMar>
          </w:tcPr>
          <w:p>
            <w:pPr>
              <w:spacing w:after="60" w:line="247" w:lineRule="auto"/>
            </w:pPr>
            <w:r>
              <w:rPr>
                <w:b w:val="0"/>
                <w:sz w:val="19"/>
              </w:rPr>
              <w:t>Direct cost sensitivity of minus 25 percent and plus 40 percent with stated contingencies</w:t>
            </w:r>
          </w:p>
        </w:tc>
      </w:tr>
      <w:tr>
        <w:trPr>
          <w:cantSplit/>
        </w:trPr>
        <w:tc>
          <w:tcPr>
            <w:tcW w:type="dxa" w:w="4392"/>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Runway plus developed core MRO</w:t>
            </w:r>
          </w:p>
        </w:tc>
        <w:tc>
          <w:tcPr>
            <w:tcW w:type="dxa" w:w="2088"/>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124.270</w:t>
            </w:r>
          </w:p>
        </w:tc>
        <w:tc>
          <w:tcPr>
            <w:tcW w:type="dxa" w:w="3600"/>
            <w:tcBorders>
              <w:top w:val="single" w:sz="4" w:color="D9D9D9"/>
              <w:left w:val="single" w:sz="4" w:color="D9D9D9"/>
              <w:bottom w:val="single" w:sz="4" w:color="D9D9D9"/>
              <w:right w:val="single" w:sz="4" w:color="D9D9D9"/>
            </w:tcBorders>
            <w:shd w:fill="FFFFFF"/>
            <w:tcMar>
              <w:top w:w="55" w:type="dxa"/>
              <w:left w:w="55" w:type="dxa"/>
              <w:bottom w:w="55" w:type="dxa"/>
              <w:right w:w="55" w:type="dxa"/>
            </w:tcMar>
          </w:tcPr>
          <w:p>
            <w:pPr>
              <w:spacing w:after="60" w:line="247" w:lineRule="auto"/>
            </w:pPr>
            <w:r>
              <w:rPr>
                <w:b w:val="0"/>
                <w:sz w:val="19"/>
              </w:rPr>
              <w:t>90.310 plus 36.120 less 2.160 duplicated apron and its contingency</w:t>
            </w:r>
          </w:p>
        </w:tc>
      </w:tr>
    </w:tbl>
    <w:p>
      <w:pPr>
        <w:spacing w:after="40" w:before="0" w:line="20" w:lineRule="exact"/>
      </w:pPr>
      <w:r>
        <w:rPr>
          <w:sz w:val="2"/>
        </w:rPr>
      </w:r>
    </w:p>
    <w:p>
      <w:r>
        <w:t>These are alternatives, not cumulative budgets. Do not add the minimum hangar to the developed core MRO budget. In the developed case the shared airfield apron replaces the MRO model’s US$1.80 million apron plus US$0.36 million contingency. Revalidate that the shared area and pavement design actually meet both operating plans.</w:t>
      </w:r>
    </w:p>
    <w:p>
      <w:r>
        <w:t>The limited infrastructure case excludes land and compensation, passenger terminal and border facilities, fuel farm, external trunk services, tax and duties, finance and escalation, full parallel taxiway, advanced instrument landing systems where required beyond the allowance, technical licences and full MRO certification, opening stock and working capital. Quantity surveyor and contractor quotations are essential before committing funds. Material earthworks or weak ground could exceed the sensitivity range.</w:t>
      </w:r>
    </w:p>
    <w:p>
      <w:r>
        <w:t>Engineering basis: current Airbus Aircraft Characteristics and GCAA aerodrome certification references guide the required design validation; they do not supply project prices. All rates above are unquoted preparer assumptions dated 23 October 2026.</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Damongo MRO proposal  |  23 October 2026  |  Planning basis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AFRICAN AIRWAYS ACE GHANA AVIATION  |  PHASE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Savannah Damongo MRO Centre Phase 2 Development Proposal</dc:title>
  <dc:subject/>
  <dc:creator>Paul Augustus Hay | Global Exchange R&amp;E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